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</w:t>
      </w:r>
      <w:r w:rsidR="009B2773">
        <w:rPr>
          <w:color w:val="000000"/>
          <w:szCs w:val="24"/>
        </w:rPr>
        <w:t xml:space="preserve">            </w:t>
      </w:r>
      <w:r w:rsidR="000D5072" w:rsidRPr="007160E7">
        <w:rPr>
          <w:color w:val="000000"/>
          <w:szCs w:val="24"/>
        </w:rPr>
        <w:t xml:space="preserve"> </w:t>
      </w:r>
      <w:r w:rsidRPr="007160E7">
        <w:rPr>
          <w:color w:val="000000"/>
          <w:szCs w:val="24"/>
        </w:rPr>
        <w:t xml:space="preserve"> “ ___</w:t>
      </w:r>
      <w:proofErr w:type="gramStart"/>
      <w:r w:rsidRPr="007160E7">
        <w:rPr>
          <w:color w:val="000000"/>
          <w:szCs w:val="24"/>
        </w:rPr>
        <w:t>_ ”</w:t>
      </w:r>
      <w:proofErr w:type="gramEnd"/>
      <w:r w:rsidRPr="007160E7">
        <w:rPr>
          <w:color w:val="000000"/>
          <w:szCs w:val="24"/>
        </w:rPr>
        <w:t xml:space="preserve"> ________ ______ года</w:t>
      </w:r>
    </w:p>
    <w:p w:rsidR="002F57A1" w:rsidRPr="007160E7" w:rsidRDefault="002F57A1" w:rsidP="003D5643">
      <w:pPr>
        <w:rPr>
          <w:color w:val="000000"/>
          <w:szCs w:val="24"/>
        </w:rPr>
      </w:pPr>
    </w:p>
    <w:p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</w:t>
      </w:r>
      <w:proofErr w:type="gramStart"/>
      <w:r w:rsidRPr="00BE6934">
        <w:rPr>
          <w:color w:val="000000"/>
          <w:sz w:val="24"/>
          <w:szCs w:val="24"/>
        </w:rPr>
        <w:t>с такой информацией</w:t>
      </w:r>
      <w:proofErr w:type="gramEnd"/>
      <w:r w:rsidRPr="00BE6934">
        <w:rPr>
          <w:color w:val="000000"/>
          <w:sz w:val="24"/>
          <w:szCs w:val="24"/>
        </w:rPr>
        <w:t xml:space="preserve">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E6934" w:rsidRDefault="00BE6934" w:rsidP="0044594A">
      <w:pPr>
        <w:pStyle w:val="2"/>
        <w:rPr>
          <w:color w:val="000000"/>
          <w:sz w:val="24"/>
          <w:szCs w:val="24"/>
        </w:rPr>
      </w:pPr>
    </w:p>
    <w:p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lastRenderedPageBreak/>
        <w:t>5. Обмен ЭОД в рамках ЭДО между Сторонами осуществляется через Оператора ЭДО – _____________.</w:t>
      </w:r>
    </w:p>
    <w:p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BEA" w:rsidRDefault="00227BEA">
      <w:r>
        <w:separator/>
      </w:r>
    </w:p>
  </w:endnote>
  <w:endnote w:type="continuationSeparator" w:id="0">
    <w:p w:rsidR="00227BEA" w:rsidRDefault="00227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BEA" w:rsidRDefault="00227BEA">
      <w:r>
        <w:separator/>
      </w:r>
    </w:p>
  </w:footnote>
  <w:footnote w:type="continuationSeparator" w:id="0">
    <w:p w:rsidR="00227BEA" w:rsidRDefault="00227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27BEA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161FE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A01F6"/>
    <w:rsid w:val="009A66B9"/>
    <w:rsid w:val="009A78CE"/>
    <w:rsid w:val="009B20C0"/>
    <w:rsid w:val="009B2773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Сергеева Алина</cp:lastModifiedBy>
  <cp:revision>2</cp:revision>
  <cp:lastPrinted>2018-11-26T13:41:00Z</cp:lastPrinted>
  <dcterms:created xsi:type="dcterms:W3CDTF">2025-07-10T13:40:00Z</dcterms:created>
  <dcterms:modified xsi:type="dcterms:W3CDTF">2025-07-10T13:40:00Z</dcterms:modified>
</cp:coreProperties>
</file>